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50E8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02A3B804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8901"/>
      </w:tblGrid>
      <w:tr w:rsidR="00E261CB" w:rsidRPr="00FF0976" w14:paraId="6E4E4BF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D71BD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54BF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00A03B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C5740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0067F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457B5A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1D4AD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CDC7E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39DF203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4128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C54B1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66626E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E42D9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B679A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14DA335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EE617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1D5F35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FCFA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F08E9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99EA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2320317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AD618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8493A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3E9890A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15D7D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05ABB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30E926D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F2FB7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A6BE8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04311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83536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228B3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EE0BDD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F5AEC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3DF4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2E22FC0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E0642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E439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16824BA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2A5C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21CB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2666AD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9E16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F44F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FEE52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0896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816AE4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C3D13F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E079C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ADAFC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203927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4178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76F78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71379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6F2E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71D55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68EC467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2CC57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A11D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13E354A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57323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2F62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41E36BC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34018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2C91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795F454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AA6B2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DD003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05F902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F0BCA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8358F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6B30808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A268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03F7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42E49F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BEA82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46EC5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53C724C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D003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222A8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08606B3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DB0A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2A49D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7263E91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FE05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1AA62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2047B90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F33FB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E17B6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769CA3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91BA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AF6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6575077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448F1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32585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vanilijin šećer ili vanilin), uz iznimku 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voćnog soka s dodanim šećerom u bilo kojem omjeru</w:t>
            </w:r>
          </w:p>
        </w:tc>
      </w:tr>
      <w:tr w:rsidR="00E261CB" w:rsidRPr="00FF0976" w14:paraId="216E00B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ABF04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2D3599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13780D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1DD63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B04A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412C4AE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55FBD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AC25A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220D4C7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9F2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84BB2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132F2A9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3A739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70B727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5EA62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827B8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CA20F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7772087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18EF8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A9BA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35FCEF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BCDF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C509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75A7A46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7D665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3CCB9A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EE4A5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58D0420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5BF73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27B82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743E6A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80DC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EE18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A7C8DC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34E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4007E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0A0018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56CE3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333C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56534BB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6732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0BCA0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D3834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8C49A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F353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271F906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6084C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D37AE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8F45E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F3324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DDBC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1AA6B3E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7A5E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934AB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EDDBEF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50D2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A9599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5BF38815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28B8679F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1A51B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2289" w14:textId="77777777" w:rsidR="00846DB8" w:rsidRDefault="00846DB8" w:rsidP="004348F8">
      <w:pPr>
        <w:spacing w:after="0" w:line="240" w:lineRule="auto"/>
      </w:pPr>
      <w:r>
        <w:separator/>
      </w:r>
    </w:p>
  </w:endnote>
  <w:endnote w:type="continuationSeparator" w:id="0">
    <w:p w14:paraId="1396A804" w14:textId="77777777" w:rsidR="00846DB8" w:rsidRDefault="00846DB8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93F2" w14:textId="77777777" w:rsidR="00846DB8" w:rsidRDefault="00846DB8" w:rsidP="004348F8">
      <w:pPr>
        <w:spacing w:after="0" w:line="240" w:lineRule="auto"/>
      </w:pPr>
      <w:r>
        <w:separator/>
      </w:r>
    </w:p>
  </w:footnote>
  <w:footnote w:type="continuationSeparator" w:id="0">
    <w:p w14:paraId="225EF65F" w14:textId="77777777" w:rsidR="00846DB8" w:rsidRDefault="00846DB8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1A51B2" w14:paraId="23015BCC" w14:textId="77777777" w:rsidTr="00EA393B">
      <w:trPr>
        <w:trHeight w:val="841"/>
      </w:trPr>
      <w:tc>
        <w:tcPr>
          <w:tcW w:w="5954" w:type="dxa"/>
          <w:hideMark/>
        </w:tcPr>
        <w:p w14:paraId="0CD7A070" w14:textId="77777777" w:rsidR="001A51B2" w:rsidRDefault="001A51B2" w:rsidP="001A51B2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Rad LAG-a Zagora sufinanciran je sredstvima Europske unije iz Europskog fonda za poljoprivredni razvoj, Podmjere 19.1. Pripremna pomoć , Podmjere 19.2. Provedba operacija unutar CLLD strategije, Podmjera 19.3. Priprema i provedba aktivnosti suradnje LAG-a i Podmjere 19.4 Tekući troškovi i animacija u okviru Mjere 19 „LEADER-CLLD“ iz Programa ruralnog razvoja Republike Hrvatske za razdoblje 2014. –2020. </w:t>
          </w:r>
        </w:p>
        <w:p w14:paraId="47329771" w14:textId="77777777" w:rsidR="001A51B2" w:rsidRDefault="001A51B2" w:rsidP="001A51B2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 sufinanciranja 90%EU, 10% RH</w:t>
          </w:r>
        </w:p>
        <w:p w14:paraId="7AE8B113" w14:textId="77777777" w:rsidR="001A51B2" w:rsidRDefault="001A51B2" w:rsidP="001A51B2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Europski poljoprivredni fond za ruralni razvoj: Europa ulaže u ruralna područja</w:t>
          </w:r>
        </w:p>
        <w:p w14:paraId="4BDE1CBD" w14:textId="77777777" w:rsidR="001A51B2" w:rsidRDefault="001A51B2" w:rsidP="001A51B2">
          <w:pPr>
            <w:widowControl w:val="0"/>
            <w:autoSpaceDE w:val="0"/>
            <w:spacing w:after="0" w:line="240" w:lineRule="auto"/>
            <w:ind w:left="119" w:right="79"/>
            <w:rPr>
              <w:rFonts w:eastAsia="SimSun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4BD3BC90" wp14:editId="14F5BF06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32AE136F" wp14:editId="5B2C6363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50EDB38A" wp14:editId="4A0DA886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2B727C" w14:textId="35485F27" w:rsidR="001A51B2" w:rsidRDefault="002D25C9" w:rsidP="001A51B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4BB47D" wp14:editId="65D4F1AD">
              <wp:simplePos x="0" y="0"/>
              <wp:positionH relativeFrom="column">
                <wp:posOffset>495300</wp:posOffset>
              </wp:positionH>
              <wp:positionV relativeFrom="paragraph">
                <wp:posOffset>-47625</wp:posOffset>
              </wp:positionV>
              <wp:extent cx="2705100" cy="71437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57F01B" w14:textId="77777777" w:rsidR="001A51B2" w:rsidRDefault="001A51B2" w:rsidP="001A51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LOKALNA AKCIJSKA GRUPA ZAGORA</w:t>
                          </w:r>
                        </w:p>
                        <w:p w14:paraId="3FA32DB3" w14:textId="77777777" w:rsidR="001A51B2" w:rsidRDefault="001A51B2" w:rsidP="001A51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Matice Hrvatske 11, 21204 Dugopolje</w:t>
                          </w:r>
                        </w:p>
                        <w:p w14:paraId="721D0976" w14:textId="77777777" w:rsidR="001A51B2" w:rsidRDefault="001A51B2" w:rsidP="001A51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        e-pošta: </w:t>
                          </w:r>
                          <w:hyperlink r:id="rId4" w:history="1">
                            <w:r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lag.zagora@gmail.com</w:t>
                            </w:r>
                          </w:hyperlink>
                        </w:p>
                        <w:p w14:paraId="5F00E11C" w14:textId="77777777" w:rsidR="001A51B2" w:rsidRDefault="001A51B2" w:rsidP="001A51B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www.lag-zagora.hr</w:t>
                          </w:r>
                        </w:p>
                        <w:p w14:paraId="3FC8E915" w14:textId="77777777" w:rsidR="001A51B2" w:rsidRDefault="001A51B2" w:rsidP="001A51B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BB47D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9pt;margin-top:-3.75pt;width:21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    <v:textbox>
                <w:txbxContent>
                  <w:p w14:paraId="6357F01B" w14:textId="77777777" w:rsidR="001A51B2" w:rsidRDefault="001A51B2" w:rsidP="001A51B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LOKALNA AKCIJSKA GRUPA ZAGORA</w:t>
                    </w:r>
                  </w:p>
                  <w:p w14:paraId="3FA32DB3" w14:textId="77777777" w:rsidR="001A51B2" w:rsidRDefault="001A51B2" w:rsidP="001A51B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Matice Hrvatske 11, 21204 Dugopolje</w:t>
                    </w:r>
                  </w:p>
                  <w:p w14:paraId="721D0976" w14:textId="77777777" w:rsidR="001A51B2" w:rsidRDefault="001A51B2" w:rsidP="001A51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        e-pošta: </w:t>
                    </w:r>
                    <w:hyperlink r:id="rId5" w:history="1">
                      <w:r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lag.zagora@gmail.com</w:t>
                      </w:r>
                    </w:hyperlink>
                  </w:p>
                  <w:p w14:paraId="5F00E11C" w14:textId="77777777" w:rsidR="001A51B2" w:rsidRDefault="001A51B2" w:rsidP="001A51B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www.lag-zagora.hr</w:t>
                    </w:r>
                  </w:p>
                  <w:p w14:paraId="3FC8E915" w14:textId="77777777" w:rsidR="001A51B2" w:rsidRDefault="001A51B2" w:rsidP="001A51B2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1A51B2" w:rsidRPr="008740ED">
      <w:rPr>
        <w:noProof/>
      </w:rPr>
      <w:drawing>
        <wp:inline distT="0" distB="0" distL="0" distR="0" wp14:anchorId="0906EC08" wp14:editId="6999B017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7B339" w14:textId="7CE6E926" w:rsidR="00EA2A4E" w:rsidRDefault="00EA2A4E" w:rsidP="00EA2A4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A51B2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2D25C9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46DB8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1845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A4E"/>
    <w:rsid w:val="00EA2FB8"/>
    <w:rsid w:val="00EA4AC7"/>
    <w:rsid w:val="00EA5674"/>
    <w:rsid w:val="00EA7971"/>
    <w:rsid w:val="00EB28EC"/>
    <w:rsid w:val="00ED2897"/>
    <w:rsid w:val="00F03003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2EDC1"/>
  <w15:docId w15:val="{76211814-5DF0-4DB4-9C90-78673AF2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aliases w:val="Char, Cha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aliases w:val="Char Char, Char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EA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A4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lag.zagora@gmail.com" TargetMode="External"/><Relationship Id="rId4" Type="http://schemas.openxmlformats.org/officeDocument/2006/relationships/hyperlink" Target="mailto:lag.za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8E846-DE5A-46C0-81E5-14D90BF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Marijana Botić Rogošić</cp:lastModifiedBy>
  <cp:revision>2</cp:revision>
  <cp:lastPrinted>2017-11-13T12:43:00Z</cp:lastPrinted>
  <dcterms:created xsi:type="dcterms:W3CDTF">2022-03-07T10:05:00Z</dcterms:created>
  <dcterms:modified xsi:type="dcterms:W3CDTF">2022-03-07T10:05:00Z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